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  <w:gridCol w:w="81"/>
      </w:tblGrid>
      <w:tr w:rsidR="000E0A39" w:rsidRPr="00A3764C" w:rsidTr="00D647A5">
        <w:trPr>
          <w:gridAfter w:val="1"/>
          <w:wAfter w:w="81" w:type="dxa"/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431F6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431F6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431F69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16</w:t>
            </w:r>
            <w:r w:rsidR="007363DA">
              <w:rPr>
                <w:b/>
                <w:i/>
                <w:szCs w:val="18"/>
                <w:lang w:eastAsia="ru-RU"/>
              </w:rPr>
              <w:t>.05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7363DA">
              <w:rPr>
                <w:b/>
                <w:bCs/>
                <w:i/>
                <w:sz w:val="18"/>
                <w:szCs w:val="17"/>
              </w:rPr>
              <w:t>5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7363DA">
              <w:rPr>
                <w:b/>
                <w:i/>
                <w:sz w:val="18"/>
                <w:szCs w:val="17"/>
              </w:rPr>
              <w:t>5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3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4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5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6.2.1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6.3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6.3.1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lastRenderedPageBreak/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6.4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6.4.1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6.5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6.5.1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6.6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6.6.1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6.7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6.7.1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6.8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6.8.1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6.9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6.9.1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6.10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6.10.1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lastRenderedPageBreak/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6.11.1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6.12.1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7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5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2216D" w:rsidRDefault="00B80C67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  <w:r w:rsidR="0002216D">
              <w:rPr>
                <w:b/>
                <w:i/>
                <w:sz w:val="18"/>
                <w:szCs w:val="17"/>
              </w:rPr>
              <w:t>«</w:t>
            </w:r>
            <w:r w:rsidR="001710B0" w:rsidRPr="001710B0">
              <w:rPr>
                <w:b/>
                <w:i/>
                <w:sz w:val="18"/>
                <w:szCs w:val="17"/>
              </w:rPr>
              <w:t>Предварительное утверждение годового отчета ПАО «</w:t>
            </w:r>
            <w:proofErr w:type="spellStart"/>
            <w:r w:rsidR="001710B0" w:rsidRPr="001710B0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="001710B0" w:rsidRPr="001710B0">
              <w:rPr>
                <w:b/>
                <w:i/>
                <w:sz w:val="18"/>
                <w:szCs w:val="17"/>
              </w:rPr>
              <w:t>» за 2018 год, годовой бухгалтерской отчетности и отчета о финансовых результ</w:t>
            </w:r>
            <w:r w:rsidR="001710B0">
              <w:rPr>
                <w:b/>
                <w:i/>
                <w:sz w:val="18"/>
                <w:szCs w:val="17"/>
              </w:rPr>
              <w:t>атах ПАО «</w:t>
            </w:r>
            <w:proofErr w:type="spellStart"/>
            <w:r w:rsidR="001710B0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="001710B0">
              <w:rPr>
                <w:b/>
                <w:i/>
                <w:sz w:val="18"/>
                <w:szCs w:val="17"/>
              </w:rPr>
              <w:t>» за 2018 год»</w:t>
            </w:r>
            <w:r w:rsidR="007A7421">
              <w:rPr>
                <w:b/>
                <w:i/>
                <w:sz w:val="18"/>
                <w:szCs w:val="17"/>
              </w:rPr>
              <w:t>:</w:t>
            </w:r>
          </w:p>
          <w:p w:rsidR="001710B0" w:rsidRDefault="001710B0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  <w:lang w:eastAsia="en-US"/>
              </w:rPr>
            </w:pPr>
            <w:r w:rsidRPr="001710B0">
              <w:rPr>
                <w:b/>
                <w:i/>
                <w:sz w:val="18"/>
                <w:szCs w:val="17"/>
                <w:lang w:eastAsia="en-US"/>
              </w:rPr>
              <w:t>Предварительно утвердить годовой отчет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en-US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en-US"/>
              </w:rPr>
              <w:t>» за 2018 год, годовую бухгалтерскую отчетность и отчет о финансовых результатах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en-US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en-US"/>
              </w:rPr>
              <w:t>» за 2018 год, и вынести их на рассмотрение и утверждение на годовое Общее собрание акционеров.</w:t>
            </w:r>
          </w:p>
          <w:p w:rsidR="001710B0" w:rsidRDefault="001710B0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2</w:t>
            </w:r>
            <w:r>
              <w:t xml:space="preserve"> «</w:t>
            </w:r>
            <w:r w:rsidRPr="001710B0">
              <w:rPr>
                <w:b/>
                <w:i/>
                <w:sz w:val="18"/>
                <w:szCs w:val="17"/>
              </w:rPr>
              <w:t>Вынесение рекомендаций по распределению прибыли (убытков) по результатам финансового года, в том числе по размеру дивидендов по акциям Общества и порядку их выплаты</w:t>
            </w:r>
            <w:r>
              <w:rPr>
                <w:b/>
                <w:i/>
                <w:sz w:val="18"/>
                <w:szCs w:val="17"/>
              </w:rPr>
              <w:t>»: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2.1.</w:t>
            </w:r>
            <w:r w:rsidRPr="001710B0">
              <w:rPr>
                <w:b/>
                <w:i/>
                <w:sz w:val="18"/>
                <w:szCs w:val="17"/>
                <w:lang w:eastAsia="ar-SA"/>
              </w:rPr>
              <w:tab/>
              <w:t>Рекомендовать годовому Общему собранию акционеров распределить часть нераспределенной прибыли прошлых лет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ar-SA"/>
              </w:rPr>
              <w:t>» в размере 30 000 000 руб.  и направить ее в резервный фонд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ar-SA"/>
              </w:rPr>
              <w:t>».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2.2.  Рекомендовать годовому Общему собранию акционеров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ar-SA"/>
              </w:rPr>
              <w:t>» принять решение не выплачивать дивиденды по размещенным обыкновенным акциям ПАО «</w:t>
            </w:r>
            <w:proofErr w:type="spellStart"/>
            <w:r w:rsidRPr="001710B0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1710B0">
              <w:rPr>
                <w:b/>
                <w:i/>
                <w:sz w:val="18"/>
                <w:szCs w:val="17"/>
                <w:lang w:eastAsia="ar-SA"/>
              </w:rPr>
              <w:t>» по результатам отчетного 2018 финансового года.</w:t>
            </w:r>
          </w:p>
          <w:p w:rsidR="001710B0" w:rsidRDefault="001710B0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№3 «</w:t>
            </w:r>
            <w:r w:rsidRPr="001710B0">
              <w:rPr>
                <w:b/>
                <w:i/>
                <w:sz w:val="18"/>
                <w:szCs w:val="17"/>
              </w:rPr>
              <w:t>Оценка профессиональной квалификации кандидатов членов Совета директоров. Определение кандидатов на соответствие критерию независимости</w:t>
            </w:r>
            <w:r>
              <w:rPr>
                <w:b/>
                <w:i/>
                <w:sz w:val="18"/>
                <w:szCs w:val="17"/>
              </w:rPr>
              <w:t>»: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3.1.</w:t>
            </w:r>
            <w:r w:rsidRPr="001710B0">
              <w:rPr>
                <w:b/>
                <w:i/>
                <w:sz w:val="18"/>
                <w:szCs w:val="17"/>
                <w:lang w:eastAsia="ar-SA"/>
              </w:rPr>
              <w:tab/>
              <w:t>Все кандидаты в члены Совета директоров имеют высокую профессиональную квалификацию для работы в составе Совета директоров Общества с точки зрения наличия у них необходимого опыта, знаний, деловой репутации, отсутствия конфликта интересов.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3.2.</w:t>
            </w:r>
            <w:r w:rsidRPr="001710B0">
              <w:rPr>
                <w:b/>
                <w:i/>
                <w:sz w:val="18"/>
                <w:szCs w:val="17"/>
                <w:lang w:eastAsia="ar-SA"/>
              </w:rPr>
              <w:tab/>
              <w:t>Количественный состав Совета директоров соответствует потребностям Общества и интересам участников.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3.3.</w:t>
            </w:r>
            <w:r w:rsidRPr="001710B0">
              <w:rPr>
                <w:b/>
                <w:i/>
                <w:sz w:val="18"/>
                <w:szCs w:val="17"/>
                <w:lang w:eastAsia="ar-SA"/>
              </w:rPr>
              <w:tab/>
              <w:t>Кандидат в состав Совета директоров:</w:t>
            </w:r>
          </w:p>
          <w:p w:rsidR="001710B0" w:rsidRP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1. Чанов Владимир Михайлович</w:t>
            </w:r>
          </w:p>
          <w:p w:rsidR="001710B0" w:rsidRDefault="001710B0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1710B0">
              <w:rPr>
                <w:b/>
                <w:i/>
                <w:sz w:val="18"/>
                <w:szCs w:val="17"/>
                <w:lang w:eastAsia="ar-SA"/>
              </w:rPr>
              <w:t>Соответствует критериям независимости, в соответствии с рекомендацией Кодекса корпоративного управления, рекомендованным Банком России (письмо 10.04.2014г. № 06-52/2463).</w:t>
            </w:r>
          </w:p>
          <w:p w:rsidR="001710B0" w:rsidRDefault="00781CDA" w:rsidP="001710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№4 «</w:t>
            </w:r>
            <w:r w:rsidRPr="00781CDA">
              <w:rPr>
                <w:b/>
                <w:i/>
                <w:sz w:val="18"/>
                <w:szCs w:val="17"/>
              </w:rPr>
              <w:t>О кандидате в Аудиторы Общества на 2019 год</w:t>
            </w:r>
            <w:r>
              <w:rPr>
                <w:b/>
                <w:i/>
                <w:sz w:val="18"/>
                <w:szCs w:val="17"/>
              </w:rPr>
              <w:t>»: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781CDA">
              <w:rPr>
                <w:b/>
                <w:i/>
                <w:sz w:val="18"/>
                <w:szCs w:val="17"/>
                <w:lang w:eastAsia="ar-SA"/>
              </w:rPr>
              <w:t>4.1. Предложить годовому Общему собранию акционеров утвердить аудитором для проведения независимого аудита бухгалтерской отчетности 2019 года Общества ООО «Кроу Экспертиза».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  <w:r w:rsidRPr="00781CDA">
              <w:rPr>
                <w:b/>
                <w:i/>
                <w:sz w:val="18"/>
                <w:szCs w:val="17"/>
                <w:lang w:eastAsia="ar-SA"/>
              </w:rPr>
              <w:t>4.2. Определить размер оплаты услуг аудитора за проведение независимого аудита Общества за 2019 год - не более 300 000 (трехсот тысяч) рублей.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№5 «</w:t>
            </w:r>
            <w:r w:rsidRPr="00781CDA">
              <w:rPr>
                <w:b/>
                <w:i/>
                <w:sz w:val="18"/>
                <w:szCs w:val="17"/>
              </w:rPr>
              <w:t>О созыве годового Общего соб</w:t>
            </w:r>
            <w:r>
              <w:rPr>
                <w:b/>
                <w:i/>
                <w:sz w:val="18"/>
                <w:szCs w:val="17"/>
              </w:rPr>
              <w:t>рания акционеров ПАО «</w:t>
            </w:r>
            <w:proofErr w:type="spellStart"/>
            <w:r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>
              <w:rPr>
                <w:b/>
                <w:i/>
                <w:sz w:val="18"/>
                <w:szCs w:val="17"/>
              </w:rPr>
              <w:t>»»: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5.1. Созвать годовое Общее собрание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(далее – Общество).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5.2. Утвердить следующие условия и порядок проведения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Дата проведения собрания: 19 июня 2019 года.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Форма проведения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Место проведения собрания: в соответствии с п. 17.2. статьи 17 Устава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определить место проведения собрания по адресу: 682711, п. Солнечный, Хабаровский край, ул. Ленина, 27.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Время начала регистрации лиц,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участвующих в годовом Общем собрании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»: 10 часов 00 минут по местному времени, по адресу места проведения Собрания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Время начала проведения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11 часов 00 минут по местному времени.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Идентификационные признаки акций, владельцы которых имеют право на участие в Собрании: акции обыкновенные именные бездокументарные, количество акций, находящихся в обращении 3 000 100 000 шт., государственный регистрационный номер</w:t>
            </w:r>
            <w:r w:rsidR="002E464B">
              <w:rPr>
                <w:b/>
                <w:i/>
                <w:sz w:val="18"/>
                <w:szCs w:val="17"/>
              </w:rPr>
              <w:t xml:space="preserve"> и </w:t>
            </w:r>
            <w:proofErr w:type="gramStart"/>
            <w:r w:rsidR="002E464B">
              <w:rPr>
                <w:b/>
                <w:i/>
                <w:sz w:val="18"/>
                <w:szCs w:val="17"/>
              </w:rPr>
              <w:t xml:space="preserve">дата </w:t>
            </w:r>
            <w:r w:rsidRPr="00781CDA">
              <w:rPr>
                <w:b/>
                <w:i/>
                <w:sz w:val="18"/>
                <w:szCs w:val="17"/>
              </w:rPr>
              <w:t xml:space="preserve"> выпуска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>: 1-01-15065-А,</w:t>
            </w:r>
            <w:r w:rsidR="002E464B">
              <w:rPr>
                <w:b/>
                <w:i/>
                <w:sz w:val="18"/>
                <w:szCs w:val="17"/>
              </w:rPr>
              <w:t xml:space="preserve"> от 13.08.2012 г.</w:t>
            </w:r>
            <w:r w:rsidRPr="00781CDA">
              <w:rPr>
                <w:b/>
                <w:i/>
                <w:sz w:val="18"/>
                <w:szCs w:val="17"/>
              </w:rPr>
              <w:t xml:space="preserve">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lastRenderedPageBreak/>
              <w:t>5.3. Утвердить следующую повестку дня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1. Утверждение годового отчета за 2018 год, утверждение годовой бухгалтерской отчетности Общества за 2018 год, в том числе отчета о финансовых результатах Общества.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2. Распределение прибыли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», в том числе выплата (объявление) дивидендов по результатам 2018 отчетного года.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3. Определение количественного состава Совета директоров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4. Избрание членов Совета директоров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 Определение количественного состава Ревизионной комиссии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 Избрание членов Ревизионной комиссии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7. Утверждение аудитора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8.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5.4. Определить дату составления списка лиц, имеющих право на участие в годовом Общем собрании акционеров: 27 мая 2019 г.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5.5. Утвердить текст сообщения о проведении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», направляемого лицам, включенным в список лиц, имеющих право на участие в годовом Общем собрании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5.6. В срок не позднее 17 мая 2019 года опубликовать на официальном интернет- сайте Общества – http://www.rus-olovo.ru/ сообщение о проведении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». Направить сообщение о проведении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в электронной форме регистратору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 целью дальнейшего доведения до сведения лиц, имеющих право на участие в Собрании, в соответствии с правилами законодательства Российской Федерации о ценных бумагах.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5.7. Установить, что бюллетени для голосования должны быть направлены заказным письмом или вручены под роспись лицам, зарегистрированным в реестре и имеющим право на участие в годовом Общем собрании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», а также направлены в электронной форме регистратору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в срок не позднее чем за 20 дней до проведения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5.8. Утвердить форму и текст бюллетеней для голосования на годовом Общем собрании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заполненные бюллетени для голосования могут направляться лицами, имеющими право на участие в годовом Общем собрании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по почтовому адресу: 119049, г. Москва, Ленинский пр-т, д. 6, корп. 7, пом. III, комн. 47, эт.3 или  115035,г. Москва, ул. Пятницкая 13 стр. 2, для Корпоративного секретаря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Манаенковой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 Е.Г.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5.9. Лицам, имеющим право на участие в собрании, предоставляется возможность дистанционного участия в собрании, заполнения электронной формы бюллетеней для голосования на сайте в информационно-телекоммуникационной сети Интернет, в том числе и в ходе проведения собрания.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Адрес в сети «Интернет», по которому лица, имеющие право на участие в годовом Общем собрании акционеров, могут заполнить электронную форму бюллетеней и проголосовать путем электронного голосования: https://evoting.reggarant.ru/Voting/Lk.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5.10. Определить, что функции счетной комиссии на годовом Общем собрании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осуществляет регистратор Общества – ООО «Регистратор «Гарант».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5.11. Утвердить перечень информационных материалов, предоставляемых акционерам Общества при подготовке к проведению годового Общего собрания акционеров: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– Годовой отчет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за 2018 год;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– Годовая бухгалтерская отчетность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за 2018 год, в том числе заключение аудитора;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– Заключение Ревизионной комиссии общества по результатам проверки годовой бухгалтерской отчетности и о достоверности данных, содержащихся в Годовом отчете Общества;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– 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– Сведения о кандидатах в Совет директоров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», Ревизионную комиссию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информация о наличии согласия выдвинутых кандидатов на избрание в Совет директоров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Ревизионную комиссию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- Сведения о кандидатуре аудитора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- Информация о об акционерных соглашениях, заключенных в течение года до даты проведения общего собрания акционеров;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- Проекты решений годового Общего собрания акционеров;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- Заключение внутреннего аудита.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5.12. Секретарем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назначить секретаря Совета директоров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Манаенкову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 Елену Геннадьевну.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5.13. Акционеры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могут ознакомиться с материалами, подлежащими предоставлению при подготовке к проведению годового Общего собрания акционеров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», и получить копии таких материалов в офисе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по адресу: г. Москва, ул. Пятницкая 13 стр. 2, с 29 мая 2019 г. по 19 июня 2019 года, с 10.00 до 17.00 час. (без перерыва на обед). Суббота, воскресенье, праздничные дни - выходные.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</w:p>
          <w:p w:rsidR="00781CDA" w:rsidRPr="001710B0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  <w:lang w:eastAsia="ar-SA"/>
              </w:rPr>
            </w:pPr>
          </w:p>
          <w:p w:rsidR="001710B0" w:rsidRDefault="001710B0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</w:rPr>
            </w:pPr>
          </w:p>
          <w:p w:rsidR="001710B0" w:rsidRDefault="001710B0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  <w:lang w:eastAsia="en-US"/>
              </w:rPr>
            </w:pP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lastRenderedPageBreak/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№6 «</w:t>
            </w:r>
            <w:r w:rsidRPr="00781CDA">
              <w:rPr>
                <w:b/>
                <w:i/>
                <w:sz w:val="18"/>
                <w:szCs w:val="17"/>
              </w:rPr>
              <w:t>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</w:t>
            </w:r>
            <w:r>
              <w:rPr>
                <w:b/>
                <w:i/>
                <w:sz w:val="18"/>
                <w:szCs w:val="17"/>
              </w:rPr>
              <w:t>орых имеется заинтересованность»: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АО «ОРК» (ОГРН 1102717000198, ИНН 2717017562),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АО «ОРК» (ОГРН 1102717000198, ИНН 2717017562)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</w:t>
            </w:r>
            <w:r>
              <w:rPr>
                <w:b/>
                <w:i/>
                <w:sz w:val="18"/>
                <w:szCs w:val="17"/>
              </w:rPr>
              <w:t>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6.2.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ряда сделок с ООО «Правоурмийское» (ОГРН 1072717000179,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ИНН  2717015290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>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6.2.1.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и ООО «Правоурмийское» (ОГРН 1072717000179,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ИНН  2717015290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).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</w:t>
            </w:r>
            <w:r>
              <w:rPr>
                <w:b/>
                <w:i/>
                <w:sz w:val="18"/>
                <w:szCs w:val="17"/>
              </w:rPr>
              <w:t xml:space="preserve">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6.3.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ПАО «Селигдар» (ОГРН 1071402000438, ИНН1402047184)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6.3.1.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ПАО «Селигдар» (ОГРН 1071402000438, ИНН1402047184).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</w:t>
            </w:r>
            <w:r w:rsidRPr="00781CDA">
              <w:rPr>
                <w:b/>
                <w:i/>
                <w:sz w:val="18"/>
                <w:szCs w:val="17"/>
              </w:rPr>
              <w:lastRenderedPageBreak/>
              <w:t>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6.4.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ряда сделок с АО «Золото 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Селигдара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ОГРН (1051400025930 ИНН 1402046014)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6.4.1.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и АО «Золото 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Селигдара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ОГРН (1051400025930 ИНН 1402046014).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6.5. Для целей принятия годовым Общим собранием акционеров в 2018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«Артель старателей «Сининда-1» (ОГРН 1020300795305 ИНН 0317001998)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6.5.1.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ООО «Артель старателей «Сининда-1» (ОГРН 1020300795305 ИНН 0317001998)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</w:t>
            </w:r>
            <w:r>
              <w:rPr>
                <w:b/>
                <w:i/>
                <w:sz w:val="18"/>
                <w:szCs w:val="17"/>
              </w:rPr>
              <w:t>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6.6.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ряда сделок с ООО «АРТЕЛЬ СТАРАТЕЛЕЙ «ПОИСК» (ОГРН 1022202218411 ИНН 225100111)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  <w:r w:rsidRPr="00781CDA">
              <w:rPr>
                <w:b/>
                <w:i/>
                <w:sz w:val="18"/>
                <w:szCs w:val="17"/>
              </w:rPr>
              <w:t xml:space="preserve">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6.6.1.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ООО «АРТЕЛЬ СТАРАТЕЛЕЙ «ПОИСК» (ОГРН 1022202218411 ИНН 225100111)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lastRenderedPageBreak/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</w:t>
            </w:r>
            <w:r>
              <w:rPr>
                <w:b/>
                <w:i/>
                <w:sz w:val="18"/>
                <w:szCs w:val="17"/>
              </w:rPr>
              <w:t>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6.7.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«ОГК» (ОГРН 1035605502624 ИНН 5610065713)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6.7.1.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proofErr w:type="gram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 сделок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>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ООО «ОГК» (ОГРН 1035605502624 ИНН 5610065713)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6.8.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«Азимут» (ОГРН 1087746539870 ИНН 7706688529)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6.8.1.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ООО «Азимут» (ОГРН 1087746539870 ИНН 7706688529)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6.9.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Прейсиш-Эйлау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(ОГРН 1117746992417 ИНН 7710902824)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6.9.1.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Прейсиш-Эйлау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(ОГРН 1117746992417 ИНН 7710902824)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lastRenderedPageBreak/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6.10.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Теплосервис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(ОГРН 1031400016515 ИНН 1402013185)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6.10.1.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proofErr w:type="gram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 сделок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>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и ООО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Теплосервис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(ОГРН 1031400016515 ИНН 1402013185)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6.11.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«Северо-Восток» (ОГРН 1097746647602 ИНН 7707713270)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6.11.1.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и ООО «Северо-Восток» (ОГРН 1097746647602 ИНН 7707713270)    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</w:t>
            </w:r>
            <w:r>
              <w:rPr>
                <w:b/>
                <w:i/>
                <w:sz w:val="18"/>
                <w:szCs w:val="17"/>
              </w:rPr>
              <w:t>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6.12. Для целей принятия годовым Общим собранием акционеров в 2019 году решения о согласии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ряда сделок с ООО «Рябиновое» (ОГРН 1041400016250 ИНН 1402014478)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lastRenderedPageBreak/>
              <w:t>6.12.1. Рекомендовать Общему собранию акционеров принять следующее решение: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Дать согласие на совершение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Стороны сделки: ПАО «</w:t>
            </w:r>
            <w:proofErr w:type="spellStart"/>
            <w:r w:rsidRPr="00781CDA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</w:rPr>
              <w:t xml:space="preserve">» и ООО «Рябиновое» (ОГРН 1041400016250 ИНН 1402014478)           Предметы сделок: 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781CDA">
              <w:rPr>
                <w:b/>
                <w:i/>
                <w:sz w:val="18"/>
                <w:szCs w:val="17"/>
              </w:rPr>
              <w:t>кредитов</w:t>
            </w:r>
            <w:proofErr w:type="gramEnd"/>
            <w:r w:rsidRPr="00781CDA">
              <w:rPr>
                <w:b/>
                <w:i/>
                <w:sz w:val="18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купля-продажа ценных бумаг;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781CDA" w:rsidRP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</w:t>
            </w:r>
            <w:r>
              <w:rPr>
                <w:b/>
                <w:i/>
                <w:sz w:val="18"/>
                <w:szCs w:val="17"/>
              </w:rPr>
              <w:t>лке.</w:t>
            </w:r>
          </w:p>
          <w:p w:rsidR="00781CDA" w:rsidRDefault="00781CDA" w:rsidP="00781CD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781CDA">
              <w:rPr>
                <w:b/>
                <w:i/>
                <w:sz w:val="18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710B0" w:rsidRDefault="00781CDA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  <w:lang w:eastAsia="en-US"/>
              </w:rPr>
            </w:pPr>
            <w:r w:rsidRPr="00781CDA">
              <w:rPr>
                <w:b/>
                <w:i/>
                <w:sz w:val="18"/>
                <w:szCs w:val="17"/>
                <w:lang w:eastAsia="en-US"/>
              </w:rPr>
              <w:t>Принятое решение, вынесенн</w:t>
            </w:r>
            <w:r>
              <w:rPr>
                <w:b/>
                <w:i/>
                <w:sz w:val="18"/>
                <w:szCs w:val="17"/>
                <w:lang w:eastAsia="en-US"/>
              </w:rPr>
              <w:t>ое на голосование по вопросу № 7 «</w:t>
            </w:r>
            <w:r w:rsidRPr="00781CDA">
              <w:rPr>
                <w:b/>
                <w:i/>
                <w:sz w:val="18"/>
                <w:szCs w:val="17"/>
                <w:lang w:eastAsia="en-US"/>
              </w:rPr>
              <w:t>Утверждение отчета о заключенных ПАО «</w:t>
            </w:r>
            <w:proofErr w:type="spellStart"/>
            <w:r w:rsidRPr="00781CDA">
              <w:rPr>
                <w:b/>
                <w:i/>
                <w:sz w:val="18"/>
                <w:szCs w:val="17"/>
                <w:lang w:eastAsia="en-US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  <w:lang w:eastAsia="en-US"/>
              </w:rPr>
              <w:t>» в 2018 году сделках, в совершении   которых имеется заинтересованность</w:t>
            </w:r>
            <w:r>
              <w:rPr>
                <w:b/>
                <w:i/>
                <w:sz w:val="18"/>
                <w:szCs w:val="17"/>
                <w:lang w:eastAsia="en-US"/>
              </w:rPr>
              <w:t>»:</w:t>
            </w:r>
          </w:p>
          <w:p w:rsidR="001710B0" w:rsidRDefault="00781CDA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b/>
                <w:i/>
                <w:sz w:val="18"/>
                <w:szCs w:val="17"/>
                <w:lang w:eastAsia="en-US"/>
              </w:rPr>
            </w:pPr>
            <w:r>
              <w:rPr>
                <w:b/>
                <w:i/>
                <w:sz w:val="18"/>
                <w:szCs w:val="17"/>
                <w:lang w:eastAsia="en-US"/>
              </w:rPr>
              <w:t>7</w:t>
            </w:r>
            <w:r w:rsidRPr="00781CDA">
              <w:rPr>
                <w:b/>
                <w:i/>
                <w:sz w:val="18"/>
                <w:szCs w:val="17"/>
                <w:lang w:eastAsia="en-US"/>
              </w:rPr>
              <w:t>.Утвердить отчет о заключенных ПАО «</w:t>
            </w:r>
            <w:proofErr w:type="spellStart"/>
            <w:r w:rsidRPr="00781CDA">
              <w:rPr>
                <w:b/>
                <w:i/>
                <w:sz w:val="18"/>
                <w:szCs w:val="17"/>
                <w:lang w:eastAsia="en-US"/>
              </w:rPr>
              <w:t>Русолово</w:t>
            </w:r>
            <w:proofErr w:type="spellEnd"/>
            <w:r w:rsidRPr="00781CDA">
              <w:rPr>
                <w:b/>
                <w:i/>
                <w:sz w:val="18"/>
                <w:szCs w:val="17"/>
                <w:lang w:eastAsia="en-US"/>
              </w:rPr>
              <w:t>» в 2018 году сделках, в совершении   которых имеется заинтересованность.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14 мая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781CDA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4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431F69">
              <w:rPr>
                <w:b/>
                <w:i/>
                <w:noProof/>
                <w:sz w:val="18"/>
                <w:szCs w:val="17"/>
                <w:lang w:eastAsia="ru-RU"/>
              </w:rPr>
              <w:t>16</w:t>
            </w:r>
            <w:bookmarkStart w:id="0" w:name="_GoBack"/>
            <w:bookmarkEnd w:id="0"/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.05.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lastRenderedPageBreak/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781CDA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431F69">
              <w:rPr>
                <w:sz w:val="18"/>
                <w:szCs w:val="17"/>
              </w:rPr>
              <w:t>16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781CDA">
              <w:rPr>
                <w:sz w:val="18"/>
                <w:szCs w:val="17"/>
              </w:rPr>
              <w:t>мая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B2828"/>
    <w:rsid w:val="000D1075"/>
    <w:rsid w:val="000D7073"/>
    <w:rsid w:val="000E0A39"/>
    <w:rsid w:val="000E4F62"/>
    <w:rsid w:val="00136A34"/>
    <w:rsid w:val="00167F61"/>
    <w:rsid w:val="001710B0"/>
    <w:rsid w:val="001B2614"/>
    <w:rsid w:val="001D6B75"/>
    <w:rsid w:val="0023191C"/>
    <w:rsid w:val="0023488E"/>
    <w:rsid w:val="00267EBB"/>
    <w:rsid w:val="002E464B"/>
    <w:rsid w:val="00303974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363DA"/>
    <w:rsid w:val="00781CDA"/>
    <w:rsid w:val="007957B3"/>
    <w:rsid w:val="007A3557"/>
    <w:rsid w:val="007A7421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47</cp:revision>
  <cp:lastPrinted>2018-09-28T07:53:00Z</cp:lastPrinted>
  <dcterms:created xsi:type="dcterms:W3CDTF">2018-03-05T05:50:00Z</dcterms:created>
  <dcterms:modified xsi:type="dcterms:W3CDTF">2019-05-15T06:45:00Z</dcterms:modified>
</cp:coreProperties>
</file>